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2" w:rsidRPr="00385897" w:rsidRDefault="00816CA2" w:rsidP="00816CA2">
      <w:pPr>
        <w:jc w:val="center"/>
        <w:rPr>
          <w:rFonts w:ascii="Times New Roman" w:hAnsi="Times New Roman" w:cs="Times New Roman"/>
          <w:b/>
        </w:rPr>
      </w:pPr>
      <w:r w:rsidRPr="00385897">
        <w:rPr>
          <w:rFonts w:ascii="Times New Roman" w:hAnsi="Times New Roman" w:cs="Times New Roman"/>
          <w:b/>
        </w:rPr>
        <w:t>ATA DA 5</w:t>
      </w:r>
      <w:r>
        <w:rPr>
          <w:rFonts w:ascii="Times New Roman" w:hAnsi="Times New Roman" w:cs="Times New Roman"/>
          <w:b/>
        </w:rPr>
        <w:t>9</w:t>
      </w:r>
      <w:r w:rsidRPr="00385897">
        <w:rPr>
          <w:rFonts w:ascii="Times New Roman" w:hAnsi="Times New Roman" w:cs="Times New Roman"/>
          <w:b/>
        </w:rPr>
        <w:t xml:space="preserve">ª REUNIÃO PLENÁRIA ORDINÁRIA, REALIZADA EM </w:t>
      </w:r>
      <w:r w:rsidR="008A589A">
        <w:rPr>
          <w:rFonts w:ascii="Times New Roman" w:hAnsi="Times New Roman" w:cs="Times New Roman"/>
          <w:b/>
        </w:rPr>
        <w:t xml:space="preserve">23 DE FEVEREIRO DE </w:t>
      </w:r>
      <w:r>
        <w:rPr>
          <w:rFonts w:ascii="Times New Roman" w:hAnsi="Times New Roman" w:cs="Times New Roman"/>
          <w:b/>
        </w:rPr>
        <w:t>2017</w:t>
      </w:r>
      <w:r w:rsidR="009122AF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816CA2" w:rsidRPr="00385897" w:rsidTr="008A589A">
        <w:tc>
          <w:tcPr>
            <w:tcW w:w="675" w:type="dxa"/>
          </w:tcPr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143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179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215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246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247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248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249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250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252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253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254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255</w:t>
            </w:r>
          </w:p>
          <w:p w:rsidR="00816CA2" w:rsidRPr="00385897" w:rsidRDefault="00816CA2" w:rsidP="000E3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647" w:type="dxa"/>
          </w:tcPr>
          <w:p w:rsidR="00A4648C" w:rsidRPr="00321512" w:rsidRDefault="00816CA2" w:rsidP="007C1F2E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vinte e três dias do mês de fevereiro de dois mil e dezessete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quinze horas, reuniu-se o Plenário do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a participação d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7C1F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Heitor Carlos Moreira Filho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Cristóvão Otero de Aguiar Araújo,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Heverton Luiz Nascimento do Carmo, Stainer Barbosa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C01C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Roseana de Almeida Vasconcelos – Conselheira Federal;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colaboradores: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</w:t>
            </w:r>
            <w:proofErr w:type="gramStart"/>
            <w:r w:rsidR="006353B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–</w:t>
            </w:r>
            <w:r w:rsidR="006353B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Gerente Administrativo e Fi</w:t>
            </w:r>
            <w:r w:rsidR="00C01C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nanceiro</w:t>
            </w:r>
            <w:r w:rsidR="00660C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; Max Queinon Batista de Sousa – Gerente Técnico</w:t>
            </w:r>
            <w:r w:rsidR="00C01C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</w:t>
            </w:r>
            <w:r w:rsidR="004A5805" w:rsidRPr="00967769">
              <w:rPr>
                <w:rFonts w:ascii="Times New Roman" w:hAnsi="Times New Roman" w:cs="Times New Roman"/>
                <w:shd w:val="clear" w:color="auto" w:fill="FFFFFF"/>
              </w:rPr>
              <w:t>Lidiane Pereira Arakaki</w:t>
            </w:r>
            <w:r w:rsidR="00C01C64" w:rsidRPr="003E0B4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C01C64" w:rsidRPr="004A580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C01C64" w:rsidRPr="003E0B4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2B091F">
              <w:rPr>
                <w:rFonts w:ascii="Times New Roman" w:hAnsi="Times New Roman" w:cs="Times New Roman"/>
                <w:shd w:val="clear" w:color="auto" w:fill="FFFFFF"/>
              </w:rPr>
              <w:t>Assessora Jurídica</w:t>
            </w:r>
            <w:r w:rsidR="007C1F2E">
              <w:rPr>
                <w:rFonts w:ascii="Times New Roman" w:hAnsi="Times New Roman" w:cs="Times New Roman"/>
                <w:shd w:val="clear" w:color="auto" w:fill="FFFFFF"/>
              </w:rPr>
              <w:t>, o conselheiro Giovani da Silva Barcelos justificou sua ausência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.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quinze horas do dia </w:t>
            </w:r>
            <w:r w:rsidR="003E0B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vinte e três do mês de fevereiro de dois mil e dezessete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iniciou a 5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9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96E5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informou a todos que a pauta foi encaminhada antecipadamente aos e-mails de todos os conselheiros titulares e perguntou se algum dos presentes teria alguma sugestão de pauta a ser incluída na reunião. O conselheiro </w:t>
            </w:r>
            <w:r w:rsidRPr="00816CA2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CRISTOVAO OTERO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pediu a palavra e solicitou que </w:t>
            </w:r>
            <w:r w:rsidR="00C01C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fossem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posto em discussão na reunião dois pontos: relatório de participação do CAU/RO no Seminário Regional da Comissão de Ética e Disciplina do CAU/BR ocorrido no inicio de fevereiro em Aracaju e a participação do CED-CAU/BR em reunião extraordinária que acontecerá em Rondônia nos dias 01 e 02 de junho de 2017. Dito isto, a presidente RAÍSA TAVARES pediu ao gerente administrativo e financeiro CÁSSIO SOUSA que incluísse esses pontos na plenária.</w:t>
            </w:r>
            <w:r w:rsidR="00C01C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Outro ponto sugerido pelo conselheiro STAINER BARBOSA é a homologação dos registros dos acadêmicos egressos</w:t>
            </w:r>
            <w:r w:rsidR="00660C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5</w:t>
            </w:r>
            <w:r w:rsidR="00660CE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8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Reunião Plenária Ordinária – 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Discussão e Aprovação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660CE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informou que encaminhará aos conselheiros a ata da reunião passada aos e-mails de todos para que possam analisar e posterior assinatura de todos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Comissões e da Conselheira Federal:</w:t>
            </w:r>
            <w:r w:rsidR="00D225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RAISA TAVARES iniciou suas comunicações falando sobre a BDH – Associação Brasileira para Assistência Hospitalar que antigamente tinha como representante o arquiteto e urbanista </w:t>
            </w:r>
            <w:r w:rsidR="00D2258E" w:rsidRPr="003E0B41">
              <w:rPr>
                <w:rFonts w:ascii="Times New Roman" w:hAnsi="Times New Roman" w:cs="Times New Roman"/>
                <w:shd w:val="clear" w:color="auto" w:fill="FFFFFF"/>
              </w:rPr>
              <w:t xml:space="preserve">Evandro </w:t>
            </w:r>
            <w:proofErr w:type="spellStart"/>
            <w:r w:rsidR="00D2258E" w:rsidRPr="003E0B41">
              <w:rPr>
                <w:rFonts w:ascii="Times New Roman" w:hAnsi="Times New Roman" w:cs="Times New Roman"/>
                <w:shd w:val="clear" w:color="auto" w:fill="FFFFFF"/>
              </w:rPr>
              <w:t>Cronemberger</w:t>
            </w:r>
            <w:proofErr w:type="spellEnd"/>
            <w:r w:rsidR="003E0B41" w:rsidRPr="003E0B41">
              <w:rPr>
                <w:rFonts w:ascii="Times New Roman" w:hAnsi="Times New Roman" w:cs="Times New Roman"/>
                <w:shd w:val="clear" w:color="auto" w:fill="FFFFFF"/>
              </w:rPr>
              <w:t xml:space="preserve"> Brito</w:t>
            </w:r>
            <w:r w:rsidR="00D2258E" w:rsidRPr="003E0B4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225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por conta de questões pessoais deixará a representação da associação e por isso a mesma será representada em Rondônia </w:t>
            </w:r>
            <w:r w:rsidR="003E0B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pel</w:t>
            </w:r>
            <w:r w:rsidR="00D225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arquiteto e urbanista </w:t>
            </w:r>
            <w:r w:rsidR="00D2258E" w:rsidRPr="003E0B41">
              <w:rPr>
                <w:rFonts w:ascii="Times New Roman" w:hAnsi="Times New Roman" w:cs="Times New Roman"/>
                <w:shd w:val="clear" w:color="auto" w:fill="FFFFFF"/>
              </w:rPr>
              <w:t>Ramon</w:t>
            </w:r>
            <w:r w:rsidR="003E0B41" w:rsidRPr="003E0B41">
              <w:rPr>
                <w:rFonts w:ascii="Times New Roman" w:hAnsi="Times New Roman" w:cs="Times New Roman"/>
                <w:shd w:val="clear" w:color="auto" w:fill="FFFFFF"/>
              </w:rPr>
              <w:t xml:space="preserve"> Nascimento Sousa</w:t>
            </w:r>
            <w:r w:rsidR="002958E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 mesmo mandou um comunicado ao CAU/RO informando a mudança ocorrida e solicitou que fosse divulgada nas mídias sociais do Conselho para conhecimento de todos. O arquiteto e urbanista Ramon</w:t>
            </w:r>
            <w:r w:rsidR="003E0B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Nascimento Sousa</w:t>
            </w:r>
            <w:r w:rsidR="002958E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informou que posteriormente tem como ideia convidar representantes da BDH ao Estado de Rondônia para ministrar palestras, </w:t>
            </w:r>
            <w:proofErr w:type="spellStart"/>
            <w:proofErr w:type="gramStart"/>
            <w:r w:rsidR="002958E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mini-cursos</w:t>
            </w:r>
            <w:proofErr w:type="spellEnd"/>
            <w:proofErr w:type="gramEnd"/>
            <w:r w:rsidR="002958E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aos profissionais arquitetos e urbanistas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Seguindo a presidente RAISA TAVARES comunicou aos 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presentes a reunião ocorrida na </w:t>
            </w:r>
            <w:r w:rsidR="003E0B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Secretaria Municipal de Regularização Fundiária, Habitação e Urbanismo</w:t>
            </w:r>
            <w:r w:rsidR="005978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- SEMUR</w:t>
            </w:r>
            <w:r w:rsidR="009C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9C6674" w:rsidRP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pois com a restruturação das secretarias realizada pela nova gestão municipal o Departamento de Licenciamento de Obras que antes era vinculada a Secretaria Municipal de Fazenda – SEMFAZ passou a integrar a SEMUR</w:t>
            </w:r>
            <w:r w:rsidR="009C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que estava sendo representada</w:t>
            </w:r>
            <w:r w:rsidR="000C26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pela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secretária municipa</w:t>
            </w:r>
            <w:r w:rsidR="003E0B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</w:t>
            </w:r>
            <w:r w:rsidR="008B2A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Márcia Cristina Luna</w:t>
            </w:r>
            <w:r w:rsidR="009C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3E0B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além</w:t>
            </w:r>
            <w:r w:rsidR="002548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participação do CAU/RO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2548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estavam presentes os representantes do SINDARQ e 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profissionais arquitetos e urbanistas</w:t>
            </w:r>
            <w:r w:rsidR="004014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servidores municipais e profissionais 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autônomos</w:t>
            </w:r>
            <w:r w:rsidR="000C26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5978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Foram apresentadas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cada uma das entidades participantes as dificuldades existentes 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no processo para o 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licenciamento de obras </w:t>
            </w:r>
            <w:r w:rsidR="009C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no município</w:t>
            </w:r>
            <w:r w:rsidR="00D34D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Porto Velho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5978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Nessa reunião foi </w:t>
            </w:r>
            <w:proofErr w:type="gramStart"/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propost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proofErr w:type="gramEnd"/>
            <w:r w:rsidR="005978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pelo CAU/RO a criação de um grupo de trabalho para que 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Conselho e o SINDARQ participem</w:t>
            </w:r>
            <w:r w:rsidR="005978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elaboração das instruções normativas elaboradas pela SEMUR; criação de turmas com número máximo de oito profissionais para que na sede do CAU/RO um técnico da prefeitura possa ministrar mini cursos sobre a legislação urbanística municipal e tire dúvidas que possam ocorrer por parte dos profissionais arquitetos e urbanistas participantes</w:t>
            </w:r>
            <w:r w:rsidR="009114D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referentes aos motivos da devolução dos processos de licenciamento de obras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Na reunião ocorrida a Secretária da SEMUR respondeu que há a possibilidade de disponibilizar técnicos e/ou analistas a esses </w:t>
            </w:r>
            <w:proofErr w:type="gramStart"/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mini cursos</w:t>
            </w:r>
            <w:proofErr w:type="gramEnd"/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dependendo da disponibilidade dos mesmos. O conselheiro HEVERTON LUIZ perguntou se a Prefeitura de Porto Velho 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possui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uma cartilha informativa sobre os procedimentos a serem adotadas para a entrada de processo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licenciamento de obras, a Presidente RAÍSA TAVARES respondeu que há 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uma cartilha que foi elaborada pela Secretaria de Planejamento no ano de 2016 sobre o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421B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Código de Obras de Porto Velho e houve interesse do município em solicitar apoio do CAU/RO para confecção dessas cartilhas através de apoio institucional, porém o CAU/RO não possui normativo que regulamente o apoio institucional, atividade essa que está em desenvolvimento pela CAF-CAU/RO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conselheiro HEVERTON LUIZ contou aos presentes a experiência vivida no Tribunal de Justiça de Rondônia onde foram realizadas oficinas que no fim tiveram como r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esultado a diminuição de fluxo 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dos processos administrativos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0E36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possibilitando uma maior agilidade na tramitação dos 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mesmos</w:t>
            </w:r>
            <w:r w:rsidR="00A325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conselheiro 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CRISTOVÃO OTERO, que participou da reunião na SEMUR, </w:t>
            </w:r>
            <w:r w:rsidR="00A325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comentou sobre 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situações </w:t>
            </w:r>
            <w:r w:rsidR="00A325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na prefeitura onde processos são devolvidos por questões 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simples </w:t>
            </w:r>
            <w:r w:rsidR="00A325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poderiam ser solucionadas se houvesse uma maior clareza nas </w:t>
            </w:r>
            <w:r w:rsidR="002647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instruções e normativas do município</w:t>
            </w:r>
            <w:r w:rsidR="00A325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6351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Continuando as comunicações a presidente RAISA TAVARES informou aos presentes sua participação no Fórum de Presidentes </w:t>
            </w:r>
            <w:r w:rsidR="00F646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na P</w:t>
            </w:r>
            <w:r w:rsidR="006351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lenária </w:t>
            </w:r>
            <w:r w:rsidR="00F646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6351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mpliada do CAU/BR, no fórum foi apresentad</w:t>
            </w:r>
            <w:r w:rsidR="00F646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6351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ela, a necessidade da </w:t>
            </w:r>
            <w:r w:rsidR="00F646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articulação dos</w:t>
            </w:r>
            <w:r w:rsidR="006351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</w:t>
            </w:r>
            <w:r w:rsidR="00F646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AU/UFs com suas bancadas federais – deputados e senadores na participação no V Seminário Legislativo de Arquitetura e Urbanismo</w:t>
            </w:r>
            <w:r w:rsidR="004C4B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cuja temática versará sobre a Nova Agenda Urbana: Contribuição dos Arquitetos e Urbanistas em funções públicas, com temas relevantes a serem discutidas em todos os estados, em especial 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</w:t>
            </w:r>
            <w:r w:rsidR="00441D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edida </w:t>
            </w:r>
            <w:r w:rsidR="00441D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rovisória</w:t>
            </w:r>
            <w:r w:rsidR="00441D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nº 759/2016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trata sobre a regularização 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fundiária. Informou que o IAB apresentou alguns pontos referentes a essa questão</w:t>
            </w:r>
            <w:r w:rsidR="004C4B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inclusive a carta elaborada pelo Instituto com críticas a medida provisória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4C4B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presidente </w:t>
            </w:r>
            <w:r w:rsidR="004C4B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informou que estará em período de férias e que a presidência do </w:t>
            </w:r>
            <w:r w:rsidR="00441D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Conselho</w:t>
            </w:r>
            <w:r w:rsidR="004C4B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será exercida pelo vice-presidente Giovani Barcelos, já ciente da situação e sugeriu 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aos conselheiros 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do CAU/RO 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</w:t>
            </w:r>
            <w:r w:rsidR="0090100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participarão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Seminário Legislativo que estudem sobre </w:t>
            </w:r>
            <w:r w:rsidR="00441D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 assuntos do Seminário, especialmente a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medida provis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ória, pois</w:t>
            </w:r>
            <w:r w:rsidR="00441D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será um dos pontos a ser</w:t>
            </w:r>
            <w:r w:rsidR="00B51A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90100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discutido nesse evento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474E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conselheiro CRISTOVAO OTERO </w:t>
            </w:r>
            <w:r w:rsidR="00474E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comentou sobre o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debate ocorrido na reunião junto a SEMUR onde foi </w:t>
            </w:r>
            <w:r w:rsidR="00474E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dito que o CRECI/RO estaria 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 mobilizando </w:t>
            </w:r>
            <w:r w:rsidR="00474E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para realizar 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revisão da Lei de Uso e Ocupação do Solo, a presidente RAISA TAVARES comentou que em</w:t>
            </w:r>
            <w:r w:rsidR="00474EE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conversa com dois diretores de departamentos de secretarias municipais afirmaram que </w:t>
            </w:r>
            <w:r w:rsidR="003A6C5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isso não está acontecendo</w:t>
            </w:r>
            <w:r w:rsidR="007273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i</w:t>
            </w:r>
            <w:r w:rsidR="0082468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nformou</w:t>
            </w:r>
            <w:r w:rsidR="007273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ainda</w:t>
            </w:r>
            <w:r w:rsidR="0082468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foram realizadas tentativas para marcar uma reunião entre os Conselhos que não foram concretizadas</w:t>
            </w:r>
            <w:r w:rsidR="005A37D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1669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HEVERTON LUIZ comentou que se isso for realmente verdade seria exercício ilegal da profissão, fato co</w:t>
            </w:r>
            <w:r w:rsid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ncordado por todos os presentes.</w:t>
            </w:r>
            <w:r w:rsidR="00FC2AE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FC2AE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presidente RAISA TAVARES reforçou a importância da participação do CAU/RO junto não apenas as C</w:t>
            </w:r>
            <w:r w:rsidR="0036663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âmaras Municip</w:t>
            </w:r>
            <w:r w:rsid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ais e suas comissões e grupos de trabalho, </w:t>
            </w:r>
            <w:r w:rsidR="0036663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mas também junto a A</w:t>
            </w:r>
            <w:r w:rsidR="00CE7C2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ssembleia Legislativa do Estado. Seguindo as comunicações, a presidente RAISA TAVARES informou aos presentes o elogio feito pelo CAU/BR ao CAU/RO quanto ao cumprimento do prazo estabelecido no que se refere ao encerramento contábil </w:t>
            </w:r>
            <w:r w:rsidR="00F512E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2016 pelo CAU/RO, também foi levada a reunião ampliada </w:t>
            </w:r>
            <w:proofErr w:type="gramStart"/>
            <w:r w:rsidR="00F512E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F512E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preocupação da CEFEP-CAU/RO quanto a apreciação dos registros profissionais, anteriormente na reunião ordinária do CAU/BR a conselheira federal </w:t>
            </w:r>
            <w:r w:rsidR="00C558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Roseana Vasconcelos em contato com o coordenador da CEF-CAU/BR solicitou mai</w:t>
            </w:r>
            <w:r w:rsid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ores</w:t>
            </w:r>
            <w:r w:rsidR="00C558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esclarecimento quanto a dúvida levantada pela CEFEP-CAU/RO, na reunião ampliada o coordenador da </w:t>
            </w:r>
            <w:r w:rsidR="00C55893" w:rsidRPr="001870B0">
              <w:rPr>
                <w:rFonts w:ascii="Times New Roman" w:hAnsi="Times New Roman" w:cs="Times New Roman"/>
                <w:shd w:val="clear" w:color="auto" w:fill="FFFFFF"/>
              </w:rPr>
              <w:t>CEF</w:t>
            </w:r>
            <w:r w:rsidR="001870B0" w:rsidRPr="001870B0">
              <w:rPr>
                <w:rFonts w:ascii="Times New Roman" w:hAnsi="Times New Roman" w:cs="Times New Roman"/>
                <w:shd w:val="clear" w:color="auto" w:fill="FFFFFF"/>
              </w:rPr>
              <w:t>-CAU/BR José Roberto</w:t>
            </w:r>
            <w:r w:rsidR="00C55893" w:rsidRPr="001870B0">
              <w:rPr>
                <w:rFonts w:ascii="Times New Roman" w:hAnsi="Times New Roman" w:cs="Times New Roman"/>
                <w:shd w:val="clear" w:color="auto" w:fill="FFFFFF"/>
              </w:rPr>
              <w:t xml:space="preserve"> Geraldine</w:t>
            </w:r>
            <w:r w:rsidR="001870B0" w:rsidRPr="001870B0">
              <w:rPr>
                <w:rFonts w:ascii="Times New Roman" w:hAnsi="Times New Roman" w:cs="Times New Roman"/>
                <w:shd w:val="clear" w:color="auto" w:fill="FFFFFF"/>
              </w:rPr>
              <w:t xml:space="preserve"> Júnior</w:t>
            </w:r>
            <w:r w:rsidR="00C55893" w:rsidRPr="001870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558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colocou-se a disposição do CAU/RO e que o mesmo poderia vir a Rondônia no final de março para se reunir com os conselheiros e esclarecer pontos quanto aos registros de egressos.</w:t>
            </w:r>
            <w:r w:rsidR="00E0166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Seguindo as comunicações, a presidente RAISA TAVARES informou que até o momento não obteve resposta do Gabinete do Prefeito de Porto Velho quanto a uma data para reunião com o CAU/RO</w:t>
            </w:r>
            <w:r w:rsidR="009E423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a mesma sugeriu que </w:t>
            </w:r>
            <w:r w:rsidR="00C90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 por acaso não seja ocorrida </w:t>
            </w:r>
            <w:proofErr w:type="gramStart"/>
            <w:r w:rsidR="00C90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C90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reunião com o Prefeito de Porto Velho, a agenda seja realizada no Ministério Público de Rondônia com a apresentação da Nova Agenda Urbana com a participação da Promotoria de Urbanismo. Seguindo, a presidente RAISA TAVARES comunicou aos conselheiros presentes a vinda da auditoria externa ao CAU/RO durante os dias 13 a 17 de março, continuou informando que o Portal da Transparência do CAU/RO está em funcionamento</w:t>
            </w:r>
            <w:r w:rsidR="00B7773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mas</w:t>
            </w:r>
            <w:r w:rsidR="00C90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há alguns detalhes que precisam ser inseridos no Portal e que há no CAU/BR uma auditoria específica para analisar o pleno atendimento da ferramenta pelos CAU/UFs</w:t>
            </w:r>
            <w:r w:rsidR="00B7773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conselheiro </w:t>
            </w:r>
            <w:r w:rsidR="00FD200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HEVERTON LUIZ questionou se o erro na informação de sua viagem ao seminário legislativo de 2016 havia sido corrigido, o gerente administrativo e financeiro CÁSSIO SOUSA </w:t>
            </w:r>
            <w:r w:rsidR="00FD200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respondeu que houve falha nas datas</w:t>
            </w:r>
            <w:r w:rsidR="00EC5C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mas</w:t>
            </w:r>
            <w:r w:rsidR="00FD200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isso havia sido solucionado.</w:t>
            </w:r>
            <w:r w:rsidR="00EC5C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fim, a presidente RAISA TAVARES perguntou se algum conselheiro gostaria de incluir alguma comunicação na plenária, como não houve o gerente técnico MAX QUEINON pediu a palavra e falou sobre a carta elaborada pelo CAU/BR contra o ensino de arquitetura e urbanismo à distância, a presidente RAISA TAVARES comentou que a carta foi divulgada nas mídias sociais do CAU/RO. Aproveitando a questão das mídias sociais, a presidente RAISA TAVARES comentou a importância da divulgação das noticias pelo CAU/RO e sugeriu que as comissões publiquem </w:t>
            </w:r>
            <w:r w:rsidR="005C5C0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debates promovidos nas reuniões das comissões permanentes no sitio eletrônico e também no </w:t>
            </w:r>
            <w:r w:rsidR="001870B0">
              <w:rPr>
                <w:rFonts w:ascii="Times New Roman" w:hAnsi="Times New Roman" w:cs="Times New Roman"/>
                <w:i/>
                <w:color w:val="212121"/>
                <w:shd w:val="clear" w:color="auto" w:fill="FFFFFF"/>
              </w:rPr>
              <w:t>F</w:t>
            </w:r>
            <w:r w:rsidR="005C5C08" w:rsidRPr="009761F9">
              <w:rPr>
                <w:rFonts w:ascii="Times New Roman" w:hAnsi="Times New Roman" w:cs="Times New Roman"/>
                <w:i/>
                <w:color w:val="212121"/>
                <w:shd w:val="clear" w:color="auto" w:fill="FFFFFF"/>
              </w:rPr>
              <w:t>acebook</w:t>
            </w:r>
            <w:r w:rsidR="001870B0">
              <w:rPr>
                <w:rFonts w:ascii="Times New Roman" w:hAnsi="Times New Roman" w:cs="Times New Roman"/>
                <w:i/>
                <w:color w:val="212121"/>
                <w:shd w:val="clear" w:color="auto" w:fill="FFFFFF"/>
              </w:rPr>
              <w:t xml:space="preserve"> </w:t>
            </w:r>
            <w:r w:rsidR="001870B0" w:rsidRP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</w:t>
            </w:r>
            <w:r w:rsidR="001870B0">
              <w:rPr>
                <w:rFonts w:ascii="Times New Roman" w:hAnsi="Times New Roman" w:cs="Times New Roman"/>
                <w:i/>
                <w:color w:val="212121"/>
                <w:shd w:val="clear" w:color="auto" w:fill="FFFFFF"/>
              </w:rPr>
              <w:t xml:space="preserve"> Instagram</w:t>
            </w:r>
            <w:r w:rsid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institucionais</w:t>
            </w:r>
            <w:r w:rsidR="005C5C0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conselho.</w:t>
            </w:r>
            <w:r w:rsidR="009761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807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Quanto aos trabalhos desenvolvidos no objetivo de divulgar aos gestores municipais a Nova Agenda Urbana a p</w:t>
            </w:r>
            <w:r w:rsidR="009761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residente RAISA TAVARES comunicou aos presentes a participação do conselheiro Tiago</w:t>
            </w:r>
            <w:r w:rsidR="001870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Roberto</w:t>
            </w:r>
            <w:r w:rsidR="00D807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Gadelha, seu suplente, </w:t>
            </w:r>
            <w:r w:rsidR="009761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em reuniões com prefeitos municipais do interior do Estado em especial nos municípios de Ariquemes, Guajará-Mirim e Nova Mamoré</w:t>
            </w:r>
            <w:r w:rsidR="008D25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levando até eles todo o material elaborado pelo CAU em prol do desenvolvimento urbano. Atendendo ao convite realizado pela CEULJI/ULBRA, o conselheiro representou </w:t>
            </w:r>
            <w:r w:rsidR="009761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CAU/RO na colação de grau da turma de </w:t>
            </w:r>
            <w:r w:rsidR="008D25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9761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rquitet</w:t>
            </w:r>
            <w:r w:rsidR="00C77F7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ura e </w:t>
            </w:r>
            <w:r w:rsidR="008D25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</w:t>
            </w:r>
            <w:r w:rsidR="00C77F7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rbanismo </w:t>
            </w:r>
            <w:r w:rsidR="000B73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 cidade de Ji-Paran</w:t>
            </w:r>
            <w:r w:rsidR="00C27FD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á, onde houve </w:t>
            </w:r>
            <w:r w:rsidR="00C77F7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um retorno bastante positivo junto aos profissionais arquitetos e urbanistas</w:t>
            </w:r>
            <w:r w:rsidR="00C27FD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município</w:t>
            </w:r>
            <w:r w:rsidR="00C77F7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A presidente RAISA TAVARES solicitou que a gerência técnica </w:t>
            </w:r>
            <w:r w:rsidR="00B77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entre em contato com as coordenações de curso </w:t>
            </w:r>
            <w:r w:rsidR="0045372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Arquitetura e Urbanismo </w:t>
            </w:r>
            <w:r w:rsidR="00B77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solicite as datas das colações de grau</w:t>
            </w:r>
            <w:r w:rsidR="0045372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inserir no calendário do CAU/RO e quando possível</w:t>
            </w:r>
            <w:r w:rsidR="00B77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CAU/RO </w:t>
            </w:r>
            <w:r w:rsidR="0050021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participe das </w:t>
            </w:r>
            <w:r w:rsidR="00B77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solenidade</w:t>
            </w:r>
            <w:r w:rsidR="0045372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B77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disponibilizando </w:t>
            </w:r>
            <w:r w:rsidR="0050021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materiais institucionais</w:t>
            </w:r>
            <w:r w:rsidR="00B77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conselheiro HEVERTON LUIZ comentou que a OAB realiza solenidade para a entrega das carteiras dos novos profissionais e sugeriu que o CAU </w:t>
            </w:r>
            <w:r w:rsidR="004276C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também pudesse fazer alguma solenidade aos novos profissionais arquitetos e urbanistas</w:t>
            </w:r>
            <w:r w:rsidR="00080A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Aproveitando a ocasião, o conselheiro CRISTOVAO OTERO comentou a importância de ocorrer reuniões plenárias do CAU/RO no interior do Estado, como é feito</w:t>
            </w:r>
            <w:r w:rsidR="00D46B1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por exemplo, pelo CAU/SE</w:t>
            </w:r>
            <w:r w:rsidR="00492A6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Seguindo as comunicações, a presidente informou que o assessor jurídico Marcelo Estebanez</w:t>
            </w:r>
            <w:r w:rsidR="0050021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que participou do encontro de Procuradores Jurídicos dos CAU/UFs realizado no Mato Grosso do Sul, apresentará na próxima plenária os assuntos debatidos no encontro, </w:t>
            </w:r>
            <w:r w:rsidR="00492A6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visto que o mesmo não pôde comparecer a presente reuni</w:t>
            </w:r>
            <w:r w:rsidR="00970C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</w:t>
            </w:r>
            <w:r w:rsidR="007A190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Dando prosseguimento a presidente RAISA TAVARES informou aos conselheiros que a cópia do processo ético está finalizado e os ofícios foram elaborados mas precisam ser retificados para que possam ser encaminhados ao CR</w:t>
            </w:r>
            <w:r w:rsidR="0050021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EA-RO e CAU/BR, respectivamente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7A1909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Origem: </w:t>
            </w:r>
            <w:r w:rsidR="007A190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proofErr w:type="gramStart"/>
            <w:r w:rsidR="007A190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5.1 </w:t>
            </w:r>
            <w:r w:rsidR="007A1909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Encaminhamento</w:t>
            </w:r>
            <w:proofErr w:type="gramEnd"/>
            <w:r w:rsidR="007A1909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da </w:t>
            </w:r>
            <w:r w:rsidR="007A1909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</w:t>
            </w:r>
            <w:r w:rsidR="007A1909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7A1909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 CED</w:t>
            </w:r>
            <w:r w:rsidR="007A190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O coordenador da CED-CAU/RO, conselheiro CRISTÓVÃO OTERO iniciou apresentando o memorando circular </w:t>
            </w:r>
            <w:r w:rsidR="006507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Presidência, que </w:t>
            </w:r>
            <w:r w:rsidR="009556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redistribui as assessorias das comissões ordinárias, aproveitou e solicitou do gerente técnico Max Queinon que repasse todas as informações discutidas em reuniões passadas da CED para o novo assessor, Audrey Faiands </w:t>
            </w:r>
            <w:r w:rsidR="009556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– Agente de Fiscalização do CAU/RO. Seguindo, o coordenador CRISTOVÃO OTERO apresentou ao </w:t>
            </w:r>
            <w:proofErr w:type="gramStart"/>
            <w:r w:rsidR="009556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plenário cartilha</w:t>
            </w:r>
            <w:proofErr w:type="gramEnd"/>
            <w:r w:rsidR="009556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montada no Seminário Regional ocorrido em Aracaju e pediu que fosse realizado uma cópia e deixado na sede do Conselho</w:t>
            </w:r>
            <w:r w:rsidR="003E6D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Dando continuidade, o conselheiro CRISTOVÃO OTERO relembrou aos conselheiros que a CED-CAU/BR definiu seu calendário de seminários regionais em algumas capitais do país como: Aracaju, Roraima, entre outras. Aproveitando o momento, o conselheiro CRISTOVÃO OTERO informou aos conselheiros presentes que graças ao empenho e participação da CED-CAU/RO haverá no </w:t>
            </w:r>
            <w:proofErr w:type="gramStart"/>
            <w:r w:rsidR="003E6D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Estado nos dias 01 e 02 de junho reunião extraordinária da CED-CAU/</w:t>
            </w:r>
            <w:proofErr w:type="gramEnd"/>
            <w:r w:rsidR="003E6D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BR. Dito isto, o mesmo informou que a CED-CAU/RO em conjunto com o plenário defina um roteiro e local para que ocorra o evento</w:t>
            </w:r>
            <w:r w:rsidR="003B22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além dos convites as CED de outros CAU/UFs</w:t>
            </w:r>
            <w:r w:rsidR="003E6D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em resposta a solicitação a presidente RAISA TAVARES solicitou informações da CED-CAU/RO de como é feito os encontros da CED-CAU/BR para que a parte administrativa possa definir a melhor opção para a reunião extraordinária.</w:t>
            </w:r>
            <w:r w:rsidR="00C85ED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OTERO </w:t>
            </w:r>
            <w:r w:rsidR="001C0F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informou que no primeiro dia do seminário promovido pela CED-CAU/BR, é convidado um advogado que tenha </w:t>
            </w:r>
            <w:proofErr w:type="gramStart"/>
            <w:r w:rsidR="001C0F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especialização em temas voltadas</w:t>
            </w:r>
            <w:proofErr w:type="gramEnd"/>
            <w:r w:rsidR="001C0F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ética profissional aberta ao público e no segundo dia é realizado reunião interna entre a CED-CAU/BR e as CED-CAU/UFs para a discussão de processos </w:t>
            </w:r>
            <w:r w:rsidR="00AE6A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éticos, o conselheiro CRISTÓVAO OTERO indagou que não há nada que impeça que na reunião extraordinária que acontecerá em junho o CAU/RO possa realizar um dia aberto aos profissionais e população e outro dia voltado para o tratamento interno de processos éticos. </w:t>
            </w:r>
            <w:r w:rsidR="003B22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Dito isto, o conselheiro CRISTOVÃO OTERO solicitou </w:t>
            </w:r>
            <w:r w:rsidR="006507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3B22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assessor da CED-CAU/RO, Audrey Faiands que na primeira semana após o carnaval seja feita uma reunião da CED para que possa ser definido o calendário anual da comissão, assim como definir os preparativos para a reunião extraordinária que acontecerá em junho. Aproveitando a definição da reunião da CED, o gerente técnico MAX QUEINON sugeriu que nessa reunião seja feita uma reunião conjunta entre a CED e a CEFEP para que os assessores possam repassar as informações para suas novas c</w:t>
            </w:r>
            <w:r w:rsidR="006507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omissões, sugestão acatada pelos</w:t>
            </w:r>
            <w:r w:rsidR="003B22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coordenadores.</w:t>
            </w:r>
            <w:r w:rsidR="00AD4E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7A190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5.2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Atos Administrativos e Finanças – CAF </w:t>
            </w:r>
            <w:r w:rsidR="00AD4EC3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5779A9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Aprovação das contas do 4º trimestre e aprovação das contas do ano de 2016:</w:t>
            </w:r>
            <w:r w:rsidR="005779A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CAF-CAU/RO passou a palavra ao gerente administrativo e financeiro CÁSSIO SOUSA que iniciou informando aos conselheiros presentes que na última reunião da comissão no que tange a aprovação das contas 4º trimestre e aprovação das contas do ano de 2016, foi definido por todos aguardar o parecer da auditoria externa para que os assuntos pudessem ser apreciados pela comissão e posteriormente ao plenário do CAU/RO.</w:t>
            </w:r>
            <w:r w:rsidR="00D2615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Aproveitando a ocasião, a presidente RAÍSA TAVARES solicitou da gerência administrativa e financeira que elabore uma planilha apresentando a todos os conselheiros os prazos que devem ser seguidos pelo CAU/RO no que </w:t>
            </w:r>
            <w:proofErr w:type="gramStart"/>
            <w:r w:rsidR="00D2615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concerne</w:t>
            </w:r>
            <w:proofErr w:type="gramEnd"/>
            <w:r w:rsidR="00D2615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as questões contábeis e financeiras. </w:t>
            </w:r>
            <w:proofErr w:type="gramStart"/>
            <w:r w:rsidR="00AA463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5.3 Aprovação</w:t>
            </w:r>
            <w:proofErr w:type="gramEnd"/>
            <w:r w:rsidR="00AA463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do calendário anual da CAF-CAU/RO:</w:t>
            </w:r>
            <w:r w:rsidR="00AA463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</w:t>
            </w:r>
            <w:r w:rsidR="00AA463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coordenador da CAF, HEVERTON LUIZ comunicou aos presentes que as reuniões da CAF, continuarão nos mesmos dias definidos em 2016 que serão na segunda semana de cada mês nas segundas-feiras. </w:t>
            </w:r>
            <w:proofErr w:type="gramStart"/>
            <w:r w:rsidR="00D26154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AA463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="00D26154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A</w:t>
            </w:r>
            <w:r w:rsidR="00AD4EC3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preciação</w:t>
            </w:r>
            <w:proofErr w:type="gramEnd"/>
            <w:r w:rsidR="00AD4EC3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dos pareceres jurídicos quanto a contratação de assessor de comunicação, criação de banco de horas, pagamento de deslocamento para participação de conselheiro em reuniões plenárias e de comissão e pagamento de gratificação aos assessores das comissões permanentes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Seguindo a pauta na reunião da comissão foi apreciado os pareceres elaborados pela assessoria jurídica a pedido da presidência sobre alguns pontos: co</w:t>
            </w:r>
            <w:r w:rsidR="00D26154" w:rsidRP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ntratação de assessor de comunicaç</w:t>
            </w:r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ão; </w:t>
            </w:r>
            <w:r w:rsidR="00D26154" w:rsidRP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criação de</w:t>
            </w:r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banco de horas; </w:t>
            </w:r>
            <w:r w:rsidR="00D26154" w:rsidRP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pagamento de deslocamento para participação de conselheiro em reuniões plenárias e de comissão e pagamento de gratificação aos assessores das comissões permanentes</w:t>
            </w:r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No que se refere </w:t>
            </w:r>
            <w:proofErr w:type="gramStart"/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contratação de assessor de comunicação a CAF definiu que a principio não há recursos orçamentários para a contratação desse profissional e que essa demanda seja discutida para o planejamento de 2018 e que o cargo esteja incluído no concurso público. Em relação </w:t>
            </w:r>
            <w:proofErr w:type="gramStart"/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D2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criação ao banco de horas, a CAF acatou o parecer da assessoria jurídica que se posicionou que apenas os empregados públicos concursados tem direito a banco de horas.</w:t>
            </w:r>
            <w:r w:rsidR="009B6A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Sobre o pagamento ao deslocamento para reuniões plenárias e de comissão, a CAF se posicionou contrário ao parecer elaborado, pois há resoluções do CAU/BR que embasam esse tipo pagamento aos conselheiros, com isso a comissão solicitou que a assessoria jurídica reanalise essa questão conforme a resolução pertinente. E por fim, sobre a questão da gratificação ao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9B6A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assessores de comissão, a CAF decidiu acatar o posicionamento da assessoria jurídica que como os assessores são cargos de confiança, os mesmos n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 tê</w:t>
            </w:r>
            <w:r w:rsidR="009B6A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 direito a essa gratificação visto que todos </w:t>
            </w:r>
            <w:proofErr w:type="gramStart"/>
            <w:r w:rsidR="009B6A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estão a inteira disposição</w:t>
            </w:r>
            <w:proofErr w:type="gramEnd"/>
            <w:r w:rsidR="009B6A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administração.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gramStart"/>
            <w:r w:rsidR="0023219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5.5 Apresentação</w:t>
            </w:r>
            <w:proofErr w:type="gramEnd"/>
            <w:r w:rsidR="0023219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do Portal da Transparência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 Dando prosseguimento o coordenador da CAF, HEVERTON LUIZ comunicou aos presentes que na reunião da comissão, o gerente administrativo e financeiro CÁSSIO SOUSA apresentou aos membros da CAF, o Portal da Transparência do CAU/RO que está com um novo layout e com todas as informações do CAU/RO, esclareceu aos presentes que o responsável pela alimentação mensal do portal é o gerente administrativo e financeiro Cássio Sousa</w:t>
            </w:r>
            <w:r w:rsidR="00DE093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acordo com as portarias nº 07/2016 e nº 08/2017 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conselheiro CRISTÓVÃO OTERO perguntou </w:t>
            </w:r>
            <w:r w:rsidR="005661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informações das comissões seriam divulgadas no portal, o gerente administrativo e financeiro CÁSSIO SOUSA respondeu que as informações que constarão no Portal serão as atas das reuniões e 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suas 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deliberações, 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quando </w:t>
            </w:r>
            <w:r w:rsidR="002321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houver.</w:t>
            </w:r>
            <w:r w:rsidR="005F11F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RAISA TAVARES pediu a palavra e pediu a CAF que verifique os relatórios das auditorias passadas e vejam quais pontos de procedimentos administrativos internos </w:t>
            </w:r>
            <w:r w:rsidR="007465A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</w:t>
            </w:r>
            <w:r w:rsidR="005F11F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precisam ser corrigidos.</w:t>
            </w:r>
            <w:r w:rsidR="007465A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gramStart"/>
            <w:r w:rsidRPr="00760C4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</w:t>
            </w:r>
            <w:r w:rsidR="00EB6FB0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6 Ordem</w:t>
            </w:r>
            <w:proofErr w:type="gramEnd"/>
            <w:r w:rsidR="00EB6FB0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do dia: Homologação dos registros dos egressos – Origem: Comissão de Ensino, Formação e Exercício Profissional: </w:t>
            </w:r>
            <w:r w:rsidR="00225617" w:rsidRPr="002256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Coordenador da CEFEP, o conselheiro STAINER BARBOSA</w:t>
            </w:r>
            <w:r w:rsidR="002256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colocou em pauta o questionamento anterior da comissão sobre a comprovação das atividades </w:t>
            </w:r>
            <w:r w:rsidR="002256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complementares dos egressos que solicit</w:t>
            </w:r>
            <w:r w:rsidR="00EC21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ar</w:t>
            </w:r>
            <w:r w:rsidR="002256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am registro no Conselho</w:t>
            </w:r>
            <w:r w:rsidR="00EC21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falou da reunião extraordinária que foi convocada para deliberar sobre este assunto. Na reunião foi decidido deferir os pedidos de registro profissional e reenviar o ofício com a solicitação de esclarecimentos sobre as atividades complementares da grade curricular dos cursos de Arquitetura e Urbanismo das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538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Instituições de Ensino Superior - 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IES do estado</w:t>
            </w:r>
            <w:r w:rsidR="00EC216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conselheiro CRISTÓVÃO OTERO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informou que analisou o documento enviado pela coordena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ção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urso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Arquitetura e Urbanismo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UNIRON com os dados sobre as atividades e afirmou que não há descri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ção das atividades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 histórico dos egressos</w:t>
            </w:r>
            <w:r w:rsidR="0016283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e, por essa razão, continua 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gerando questionamentos na análise da comissão</w:t>
            </w:r>
            <w:r w:rsidR="00B903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582DA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RAISA TAVARES 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disse que a informação que obteve do coordenador da CE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F-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CAU/BR sobre as solicitações do</w:t>
            </w:r>
            <w:r w:rsidR="00B8104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ofícios do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Conselho </w:t>
            </w:r>
            <w:r w:rsidR="00B8104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foi de que el</w:t>
            </w:r>
            <w:r w:rsidR="001F69D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precisa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riam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ter embasamento legal, e quanto aos registros dos profissionais há a resolução que descreve passo a passo de como a análise dos pedidos </w:t>
            </w:r>
            <w:r w:rsidR="00B8104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serão 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feitos</w:t>
            </w:r>
            <w:r w:rsidR="00B8104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quais documentos devem ser apresentados</w:t>
            </w:r>
            <w:r w:rsidR="00C47F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por isso</w:t>
            </w:r>
            <w:r w:rsidR="00B8104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os ofícios elaborados pedindo esclarecimento em relação ao tema devem estar amparados por lei e/ou resolução.</w:t>
            </w:r>
            <w:r w:rsidR="001538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ressaltou, ain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da, que o coordenador da CEF-</w:t>
            </w:r>
            <w:r w:rsidR="001538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CAU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/</w:t>
            </w:r>
            <w:r w:rsidR="001538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BR afirmou que as IES não </w:t>
            </w:r>
            <w:r w:rsidR="00101E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têm</w:t>
            </w:r>
            <w:r w:rsidR="001538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obrigação, com base em normativa do MEC de descrever todas as atividades complementares, não sendo necessário apresentar os certificados que atestam a carga hor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ária, e ele conclui que, hoje</w:t>
            </w:r>
            <w:r w:rsidR="006B090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Conselho não teria a competência de analisar essa questão por não haver previsão legal regulamentando o assunto. </w:t>
            </w:r>
            <w:r w:rsidR="00EC58A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RAISA TAVARES destacou que, mesmo essas informações tendo importância para que o Conselho possa apreciar os pedidos de registro, não 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existe obrigatoriedade quanto </w:t>
            </w:r>
            <w:proofErr w:type="gramStart"/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cobrança da</w:t>
            </w:r>
            <w:r w:rsidR="000C73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comprovaç</w:t>
            </w:r>
            <w:r w:rsidR="002764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 desse</w:t>
            </w:r>
            <w:r w:rsidR="000C73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 </w:t>
            </w:r>
            <w:r w:rsidR="002764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dados</w:t>
            </w:r>
            <w:r w:rsidR="000C73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as instituições</w:t>
            </w:r>
            <w:r w:rsidR="002764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pois o MEC já fiscaliza as atividades</w:t>
            </w:r>
            <w:r w:rsidR="000C734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6722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presidente disse que o coordenador afirmou ser pertinente o questionamento e que ele deverá ser e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ncaminhado para a CEF–</w:t>
            </w:r>
            <w:r w:rsidR="006722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CAU/BR solicitando a discussão do tema entre a Comissão e o MEC. </w:t>
            </w:r>
            <w:r w:rsidR="004009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conselheira</w:t>
            </w:r>
            <w:r w:rsidR="00E10A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federal</w:t>
            </w:r>
            <w:r w:rsidR="004009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ROSEANA VASCONCELOS reafirmou o seu posicionamento sobre a questão de que não vê essa necessidade de comprovação junto ao Conselho e o</w:t>
            </w:r>
            <w:r w:rsidR="006722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gerente técnico MAX QUEINON</w:t>
            </w:r>
            <w:r w:rsidR="003B158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aproveitou o ensejo e fez uma analogia para </w:t>
            </w:r>
            <w:r w:rsidR="004009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</w:t>
            </w:r>
            <w:r w:rsidR="003B158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conselheiro CRISTÓVÃO OTERO</w:t>
            </w:r>
            <w:r w:rsidR="004009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3B158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pudesse entender que as IES não precisam passar essas informações,</w:t>
            </w:r>
            <w:r w:rsidR="004009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tendo em vista que </w:t>
            </w:r>
            <w:r w:rsidR="003B158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MEC</w:t>
            </w:r>
            <w:r w:rsidR="004009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validou o modelo de histórico entregue aos recém-formados</w:t>
            </w:r>
            <w:r w:rsidR="003B158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CD073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não havendo alegação para barrar as solicitações de registro profissional, ressaltando que isso poderá criar demandas judiciais para o CAU/RO.</w:t>
            </w:r>
            <w:r w:rsidR="003B4DE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RAISA TAVARES salientou que há outras questões com maior relevância – a exemplo do fato de haver pessoas atuando como coordenadoras do curso de Arquitetura e Urbanismo no município que não são formados na área – que a CEFEP do Conselho não pode deixar de fiscalizar.</w:t>
            </w:r>
            <w:r w:rsidR="002D19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F3E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conselheiro CRISTÓVÃO OTERO reafirmou a importância dessa discussão e a presidente orientou que a comissão solicite assessoria jurídica sobre o assunto.</w:t>
            </w:r>
            <w:r w:rsidR="00C0639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</w:t>
            </w:r>
            <w:r w:rsidR="002D19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presidente </w:t>
            </w:r>
            <w:r w:rsidR="00C0639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RAISA TAVARES finalizou comunicando a CEFEP que os </w:t>
            </w:r>
            <w:r w:rsidR="00C0639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registros só podem ser barrados com base na lei e nas resoluções do CAU</w:t>
            </w:r>
            <w:r w:rsidR="00A9335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orientou o assessor da Comissão a passar todos os documentos referentes à demanda para todos os membros</w:t>
            </w:r>
            <w:r w:rsidR="0042185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além do calendário com as datas das reuniões ordinárias que foram marcadas</w:t>
            </w:r>
            <w:r w:rsidR="00C0639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6B59A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6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    Encerramento</w:t>
            </w:r>
            <w: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</w:t>
            </w:r>
            <w:r w:rsidR="007A190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Cássio Sousa Nascimento</w:t>
            </w:r>
            <w:proofErr w:type="gramStart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</w:t>
            </w:r>
            <w:proofErr w:type="gramEnd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funcionário do CAU/RO que atuei, inclusive para lavratura desta Ata, de ordem da Presidente Raísa Tavar</w:t>
            </w:r>
            <w:r w:rsidR="009122A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 Thomaz. Definitivamente </w:t>
            </w:r>
            <w:proofErr w:type="gramStart"/>
            <w:r w:rsidR="009122A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lida,</w:t>
            </w:r>
            <w:proofErr w:type="gramEnd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aprovada e assinada</w:t>
            </w:r>
            <w:r w:rsidR="009122A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9122AF"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por todos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</w:tbl>
    <w:p w:rsidR="00321512" w:rsidRDefault="00321512" w:rsidP="00816CA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A2" w:rsidRPr="00385897" w:rsidRDefault="00816CA2" w:rsidP="00816CA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97"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4920BD">
        <w:rPr>
          <w:rFonts w:ascii="Times New Roman" w:hAnsi="Times New Roman" w:cs="Times New Roman"/>
          <w:sz w:val="24"/>
          <w:szCs w:val="24"/>
        </w:rPr>
        <w:t>23 de fevereiro de 2017.</w:t>
      </w:r>
    </w:p>
    <w:p w:rsidR="00A4648C" w:rsidRPr="00385897" w:rsidRDefault="00A4648C" w:rsidP="00816CA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16CA2" w:rsidRPr="00385897" w:rsidTr="000E3657">
        <w:tc>
          <w:tcPr>
            <w:tcW w:w="4605" w:type="dxa"/>
          </w:tcPr>
          <w:p w:rsidR="00816CA2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Raísa Tavares Thomaz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Presidente do CAU/RO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A70879-8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CA2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Default="009122AF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920BD" w:rsidRPr="00385897" w:rsidRDefault="007C1F2E" w:rsidP="004920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Heitor Carlos Moreira Filho</w:t>
            </w:r>
          </w:p>
          <w:p w:rsidR="004920BD" w:rsidRPr="00385897" w:rsidRDefault="007C1F2E" w:rsidP="004920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Conselheiro Estadual</w:t>
            </w:r>
            <w:r w:rsidR="00EA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Suplente</w:t>
            </w:r>
          </w:p>
          <w:p w:rsidR="004920BD" w:rsidRPr="00385897" w:rsidRDefault="004920BD" w:rsidP="004920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 w:rsidR="00BD20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2842">
              <w:rPr>
                <w:rFonts w:ascii="Times New Roman" w:hAnsi="Times New Roman" w:cs="Times New Roman"/>
                <w:sz w:val="24"/>
                <w:szCs w:val="24"/>
              </w:rPr>
              <w:t>9939-2</w:t>
            </w:r>
            <w:bookmarkStart w:id="0" w:name="_GoBack"/>
            <w:bookmarkEnd w:id="0"/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A2" w:rsidRPr="00385897" w:rsidTr="000E3657">
        <w:tc>
          <w:tcPr>
            <w:tcW w:w="4605" w:type="dxa"/>
          </w:tcPr>
          <w:p w:rsidR="009122AF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Cristóvão Otero de Aguiar Araújo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9122AF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A14730-3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CA2" w:rsidRDefault="00816CA2" w:rsidP="000E3657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0E3657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20BD" w:rsidRPr="00385897" w:rsidRDefault="004920BD" w:rsidP="004920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Heverton Luiz Nascimento do Carmo</w:t>
            </w:r>
          </w:p>
          <w:p w:rsidR="004920BD" w:rsidRPr="00385897" w:rsidRDefault="004920BD" w:rsidP="004920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 w:rsidR="00CE7840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4920BD" w:rsidRDefault="004920BD" w:rsidP="004920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 w:rsidR="00CE7840">
              <w:rPr>
                <w:rFonts w:ascii="Times New Roman" w:hAnsi="Times New Roman" w:cs="Times New Roman"/>
                <w:sz w:val="24"/>
                <w:szCs w:val="24"/>
              </w:rPr>
              <w:t>A103675-0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A2" w:rsidRPr="00385897" w:rsidTr="000E3657">
        <w:tc>
          <w:tcPr>
            <w:tcW w:w="4605" w:type="dxa"/>
          </w:tcPr>
          <w:p w:rsidR="00816CA2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12" w:rsidRDefault="0032151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Stainer Barbosa </w:t>
            </w:r>
            <w:proofErr w:type="spellStart"/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proofErr w:type="spellEnd"/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Conselheiro Estadual Titular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A83244-8</w:t>
            </w:r>
          </w:p>
          <w:p w:rsidR="00816CA2" w:rsidRDefault="00816CA2" w:rsidP="009122AF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9122AF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CA2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12" w:rsidRDefault="0032151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Roseana de Almeida Vasconcelos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Conselheira Federal do CAU/RO</w:t>
            </w:r>
          </w:p>
          <w:p w:rsidR="009122AF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A22582-7</w:t>
            </w: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A2" w:rsidRPr="00385897" w:rsidTr="000E3657">
        <w:tc>
          <w:tcPr>
            <w:tcW w:w="4605" w:type="dxa"/>
          </w:tcPr>
          <w:p w:rsidR="009122AF" w:rsidRDefault="009122AF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12" w:rsidRDefault="0032151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Cássio Sousa Nascimento</w:t>
            </w:r>
          </w:p>
          <w:p w:rsidR="009122AF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Administrativo e Financeiro</w:t>
            </w: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CAU/RO</w:t>
            </w:r>
          </w:p>
          <w:p w:rsidR="009122AF" w:rsidRDefault="009122AF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850390</w:t>
            </w:r>
          </w:p>
          <w:p w:rsidR="00816CA2" w:rsidRPr="00385897" w:rsidRDefault="00816CA2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22AF" w:rsidRDefault="009122AF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12" w:rsidRDefault="0032151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Queinon Batista de Sousa</w:t>
            </w:r>
          </w:p>
          <w:p w:rsidR="009122AF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Técnico</w:t>
            </w: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CAU/RO</w:t>
            </w:r>
          </w:p>
          <w:p w:rsidR="009122AF" w:rsidRPr="00385897" w:rsidRDefault="009122AF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16">
              <w:rPr>
                <w:rFonts w:ascii="Times New Roman" w:hAnsi="Times New Roman" w:cs="Times New Roman"/>
                <w:sz w:val="24"/>
                <w:szCs w:val="24"/>
              </w:rPr>
              <w:t>CAU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0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  <w:r w:rsidRPr="00BD2016">
              <w:rPr>
                <w:rFonts w:ascii="Times New Roman" w:hAnsi="Times New Roman" w:cs="Times New Roman"/>
                <w:sz w:val="24"/>
                <w:szCs w:val="24"/>
              </w:rPr>
              <w:t>A109018-6</w:t>
            </w:r>
          </w:p>
          <w:p w:rsidR="009122AF" w:rsidRDefault="009122AF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2" w:rsidRPr="00385897" w:rsidRDefault="00816CA2" w:rsidP="000E365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A2" w:rsidRPr="00385897" w:rsidTr="000E3657">
        <w:tc>
          <w:tcPr>
            <w:tcW w:w="4605" w:type="dxa"/>
          </w:tcPr>
          <w:p w:rsidR="00321512" w:rsidRDefault="00321512" w:rsidP="009122A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FE" w:rsidRDefault="00DF0BFE" w:rsidP="0032151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12" w:rsidRPr="00385897" w:rsidRDefault="00321512" w:rsidP="0032151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1512" w:rsidRDefault="00321512" w:rsidP="0032151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69">
              <w:rPr>
                <w:rFonts w:ascii="Times New Roman" w:hAnsi="Times New Roman" w:cs="Times New Roman"/>
                <w:shd w:val="clear" w:color="auto" w:fill="FFFFFF"/>
              </w:rPr>
              <w:t>Lidiane Pereira Arakaki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091F" w:rsidRDefault="002B091F" w:rsidP="002B09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Jurídica do CAU/RO</w:t>
            </w:r>
          </w:p>
          <w:p w:rsidR="002B091F" w:rsidRDefault="002B091F" w:rsidP="002B09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hAnsi="Times New Roman" w:cs="Times New Roman"/>
              </w:rPr>
              <w:t>OAB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 xml:space="preserve">/RO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nº 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>6875</w:t>
            </w:r>
          </w:p>
          <w:p w:rsidR="00816CA2" w:rsidRPr="00385897" w:rsidRDefault="002B091F" w:rsidP="002B09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Estebanez Martins Advogados Associados</w:t>
            </w:r>
          </w:p>
        </w:tc>
        <w:tc>
          <w:tcPr>
            <w:tcW w:w="4606" w:type="dxa"/>
          </w:tcPr>
          <w:p w:rsidR="00816CA2" w:rsidRPr="00385897" w:rsidRDefault="00816CA2" w:rsidP="002B091F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A2" w:rsidRDefault="00816CA2" w:rsidP="00321512"/>
    <w:sectPr w:rsidR="00816CA2" w:rsidSect="000E3657">
      <w:headerReference w:type="default" r:id="rId7"/>
      <w:footerReference w:type="default" r:id="rId8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AF" w:rsidRDefault="00D040AF">
      <w:pPr>
        <w:spacing w:after="0" w:line="240" w:lineRule="auto"/>
      </w:pPr>
      <w:r>
        <w:separator/>
      </w:r>
    </w:p>
  </w:endnote>
  <w:endnote w:type="continuationSeparator" w:id="0">
    <w:p w:rsidR="00D040AF" w:rsidRDefault="00D0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0971" w:rsidRPr="00D77B11" w:rsidRDefault="00D77B11" w:rsidP="00D77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B11">
              <w:rPr>
                <w:rFonts w:ascii="Times New Roman" w:hAnsi="Times New Roman" w:cs="Times New Roman"/>
                <w:b/>
                <w:sz w:val="16"/>
                <w:szCs w:val="16"/>
              </w:rPr>
              <w:t>ATA DA 59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ª REUNIÃO PLENÁRIA ORDINÁRIA – </w:t>
            </w:r>
            <w:r w:rsidRPr="00D77B11">
              <w:rPr>
                <w:rFonts w:ascii="Times New Roman" w:hAnsi="Times New Roman" w:cs="Times New Roman"/>
                <w:b/>
                <w:sz w:val="16"/>
                <w:szCs w:val="16"/>
              </w:rPr>
              <w:t>23 DE FEVEREIRO DE 2017.</w:t>
            </w:r>
          </w:p>
          <w:p w:rsidR="00400971" w:rsidRDefault="00400971" w:rsidP="00D77B11">
            <w:pPr>
              <w:pStyle w:val="Rodap"/>
              <w:jc w:val="right"/>
            </w:pPr>
            <w:r w:rsidRPr="00D77B11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A284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7B11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A284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D77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0971" w:rsidRDefault="004009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AF" w:rsidRDefault="00D040AF">
      <w:pPr>
        <w:spacing w:after="0" w:line="240" w:lineRule="auto"/>
      </w:pPr>
      <w:r>
        <w:separator/>
      </w:r>
    </w:p>
  </w:footnote>
  <w:footnote w:type="continuationSeparator" w:id="0">
    <w:p w:rsidR="00D040AF" w:rsidRDefault="00D0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71" w:rsidRDefault="0040097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7D749B2" wp14:editId="0932FF85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971" w:rsidRDefault="004009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A2"/>
    <w:rsid w:val="00080A84"/>
    <w:rsid w:val="000B73F8"/>
    <w:rsid w:val="000C1AAC"/>
    <w:rsid w:val="000C26CD"/>
    <w:rsid w:val="000C7341"/>
    <w:rsid w:val="000E3657"/>
    <w:rsid w:val="000F661B"/>
    <w:rsid w:val="00101EE4"/>
    <w:rsid w:val="00153802"/>
    <w:rsid w:val="0016283E"/>
    <w:rsid w:val="0016696A"/>
    <w:rsid w:val="001870B0"/>
    <w:rsid w:val="001C0FB1"/>
    <w:rsid w:val="001F69D1"/>
    <w:rsid w:val="00225617"/>
    <w:rsid w:val="00232199"/>
    <w:rsid w:val="002548B7"/>
    <w:rsid w:val="00255203"/>
    <w:rsid w:val="0026474B"/>
    <w:rsid w:val="002704E7"/>
    <w:rsid w:val="002764D3"/>
    <w:rsid w:val="002958EF"/>
    <w:rsid w:val="002A70F0"/>
    <w:rsid w:val="002B091F"/>
    <w:rsid w:val="002B3CF5"/>
    <w:rsid w:val="002D198D"/>
    <w:rsid w:val="002F3E8E"/>
    <w:rsid w:val="00321512"/>
    <w:rsid w:val="00366632"/>
    <w:rsid w:val="003A6C5C"/>
    <w:rsid w:val="003B158A"/>
    <w:rsid w:val="003B229E"/>
    <w:rsid w:val="003B4DEC"/>
    <w:rsid w:val="003E0B41"/>
    <w:rsid w:val="003E6DED"/>
    <w:rsid w:val="00400971"/>
    <w:rsid w:val="004014B1"/>
    <w:rsid w:val="00421857"/>
    <w:rsid w:val="00421BAC"/>
    <w:rsid w:val="004276CF"/>
    <w:rsid w:val="00441D57"/>
    <w:rsid w:val="00453725"/>
    <w:rsid w:val="00461C6B"/>
    <w:rsid w:val="00474EEB"/>
    <w:rsid w:val="004920BD"/>
    <w:rsid w:val="00492A60"/>
    <w:rsid w:val="004A129D"/>
    <w:rsid w:val="004A5805"/>
    <w:rsid w:val="004C4BE2"/>
    <w:rsid w:val="0050021C"/>
    <w:rsid w:val="005661C3"/>
    <w:rsid w:val="0057022E"/>
    <w:rsid w:val="005779A9"/>
    <w:rsid w:val="00582DA6"/>
    <w:rsid w:val="0059786D"/>
    <w:rsid w:val="005A37DB"/>
    <w:rsid w:val="005C5C08"/>
    <w:rsid w:val="005F11FE"/>
    <w:rsid w:val="00635139"/>
    <w:rsid w:val="006353BD"/>
    <w:rsid w:val="0065078B"/>
    <w:rsid w:val="00660CEB"/>
    <w:rsid w:val="006722B4"/>
    <w:rsid w:val="006A285F"/>
    <w:rsid w:val="006B090F"/>
    <w:rsid w:val="006B59A5"/>
    <w:rsid w:val="00727359"/>
    <w:rsid w:val="007465A4"/>
    <w:rsid w:val="007A1909"/>
    <w:rsid w:val="007C1F2E"/>
    <w:rsid w:val="00816CA2"/>
    <w:rsid w:val="008173FF"/>
    <w:rsid w:val="0082468C"/>
    <w:rsid w:val="008A589A"/>
    <w:rsid w:val="008B2A5E"/>
    <w:rsid w:val="008B6223"/>
    <w:rsid w:val="008D2566"/>
    <w:rsid w:val="0090100F"/>
    <w:rsid w:val="009114D0"/>
    <w:rsid w:val="009122AF"/>
    <w:rsid w:val="009504F1"/>
    <w:rsid w:val="0095567F"/>
    <w:rsid w:val="00970C3F"/>
    <w:rsid w:val="009761F9"/>
    <w:rsid w:val="009B6A6E"/>
    <w:rsid w:val="009C6674"/>
    <w:rsid w:val="009E4232"/>
    <w:rsid w:val="00A05ADD"/>
    <w:rsid w:val="00A32574"/>
    <w:rsid w:val="00A4648C"/>
    <w:rsid w:val="00A714B1"/>
    <w:rsid w:val="00A9335F"/>
    <w:rsid w:val="00AA4637"/>
    <w:rsid w:val="00AD4EC3"/>
    <w:rsid w:val="00AD7F26"/>
    <w:rsid w:val="00AE6AAD"/>
    <w:rsid w:val="00B51A29"/>
    <w:rsid w:val="00B774B7"/>
    <w:rsid w:val="00B77731"/>
    <w:rsid w:val="00B81049"/>
    <w:rsid w:val="00B90333"/>
    <w:rsid w:val="00BD2016"/>
    <w:rsid w:val="00C01C64"/>
    <w:rsid w:val="00C06391"/>
    <w:rsid w:val="00C24588"/>
    <w:rsid w:val="00C27FD6"/>
    <w:rsid w:val="00C47F20"/>
    <w:rsid w:val="00C55893"/>
    <w:rsid w:val="00C77F70"/>
    <w:rsid w:val="00C85EDC"/>
    <w:rsid w:val="00C90A30"/>
    <w:rsid w:val="00CD073D"/>
    <w:rsid w:val="00CE7840"/>
    <w:rsid w:val="00CE7C27"/>
    <w:rsid w:val="00D040AF"/>
    <w:rsid w:val="00D2258E"/>
    <w:rsid w:val="00D26154"/>
    <w:rsid w:val="00D34DD8"/>
    <w:rsid w:val="00D46B1B"/>
    <w:rsid w:val="00D63E22"/>
    <w:rsid w:val="00D77B11"/>
    <w:rsid w:val="00D807D8"/>
    <w:rsid w:val="00DE0936"/>
    <w:rsid w:val="00DF0BFE"/>
    <w:rsid w:val="00E0166C"/>
    <w:rsid w:val="00E10ABA"/>
    <w:rsid w:val="00E370D1"/>
    <w:rsid w:val="00E40E7C"/>
    <w:rsid w:val="00E81C6A"/>
    <w:rsid w:val="00EA2842"/>
    <w:rsid w:val="00EB6FB0"/>
    <w:rsid w:val="00EC2164"/>
    <w:rsid w:val="00EC58A2"/>
    <w:rsid w:val="00EC5CBB"/>
    <w:rsid w:val="00F512EA"/>
    <w:rsid w:val="00F6469E"/>
    <w:rsid w:val="00F67C1F"/>
    <w:rsid w:val="00FC2AE3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6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CA2"/>
  </w:style>
  <w:style w:type="paragraph" w:styleId="Rodap">
    <w:name w:val="footer"/>
    <w:basedOn w:val="Normal"/>
    <w:link w:val="RodapChar"/>
    <w:uiPriority w:val="99"/>
    <w:unhideWhenUsed/>
    <w:rsid w:val="00816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CA2"/>
  </w:style>
  <w:style w:type="character" w:styleId="nfase">
    <w:name w:val="Emphasis"/>
    <w:basedOn w:val="Fontepargpadro"/>
    <w:uiPriority w:val="20"/>
    <w:qFormat/>
    <w:rsid w:val="004A58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6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CA2"/>
  </w:style>
  <w:style w:type="paragraph" w:styleId="Rodap">
    <w:name w:val="footer"/>
    <w:basedOn w:val="Normal"/>
    <w:link w:val="RodapChar"/>
    <w:uiPriority w:val="99"/>
    <w:unhideWhenUsed/>
    <w:rsid w:val="00816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CA2"/>
  </w:style>
  <w:style w:type="character" w:styleId="nfase">
    <w:name w:val="Emphasis"/>
    <w:basedOn w:val="Fontepargpadro"/>
    <w:uiPriority w:val="20"/>
    <w:qFormat/>
    <w:rsid w:val="004A5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3803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Sousa</dc:creator>
  <cp:lastModifiedBy>Microsoft</cp:lastModifiedBy>
  <cp:revision>91</cp:revision>
  <cp:lastPrinted>2017-07-24T01:24:00Z</cp:lastPrinted>
  <dcterms:created xsi:type="dcterms:W3CDTF">2017-03-23T22:02:00Z</dcterms:created>
  <dcterms:modified xsi:type="dcterms:W3CDTF">2017-07-25T23:00:00Z</dcterms:modified>
</cp:coreProperties>
</file>